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2015/189 vom 27. April 2017</w:t>
      </w:r>
    </w:p>
    <w:p>
      <w:r>
        <w:t>Sg Versicherungsgericht, 2017-04-27, DE</w:t>
      </w:r>
    </w:p>
    <w:p>
      <w:r>
        <w:rPr>
          <w:b/>
        </w:rPr>
        <w:t xml:space="preserve">Quelle: </w:t>
      </w:r>
      <w:r>
        <w:t>https://mcp.opencaselaw.ch/entscheid/sg_publikationen_IV 2015_189</w:t>
      </w:r>
    </w:p>
    <w:p>
      <w:r>
        <w:t>FR: SG_VERSICHERUNGSGERICHT IV 2015/189 du 27 avril 2017</w:t>
      </w:r>
    </w:p>
    <w:p>
      <w:r>
        <w:t>IT: SG_VERSICHERUNGSGERICHT IV 2015/189 del 27 aprile 2017</w:t>
      </w:r>
    </w:p>
    <w:p>
      <w:pPr>
        <w:pStyle w:val="Heading2"/>
      </w:pPr>
      <w:r>
        <w:t>Regeste</w:t>
      </w:r>
    </w:p>
    <w:p>
      <w:r>
        <w:t>Art. 28 IVG. Art. 7 Abs. 2 ATSG. Rentenanspruch. Würdigung Gutachten. Eine Erwerbsunfähigkeit können lediglich die Folgen einer gesundheitlichen Beeinträchtigung begründen, die aus objektiver Sicht nicht überwindbar sind. Nicht krankheitswertige Persönlichkeitsmerkmale oder eine Kränkbarkeit stellen kein krankhaftes Geschehen bzw. keine gesundheitliche Beeinträchtigung dar (Entscheid des Versicherungsgerichts des Kantons St. Gallen vom 27. April 2017, IV 2015/189). Bestätigt durch Urteil des Bundesgerichts 9C_422/2017.</w:t>
      </w:r>
    </w:p>
    <w:p>
      <w:pPr>
        <w:pStyle w:val="Heading2"/>
      </w:pPr>
      <w:r>
        <w:t>Erwägungen</w:t>
      </w:r>
    </w:p>
    <w:p>
      <w:r>
        <w:rPr>
          <w:b/>
        </w:rPr>
        <w:t>E. 1</w:t>
      </w:r>
    </w:p>
    <w:p>
      <w:r>
        <w:t>Zwischen den Parteien umstritten und nachfolgend zu prüfen ist der Rentenanspruch der Beschwerdeführerin. 1.1  Am 1. Januar 2004 sind die neuen Normen der 4. IV-Revision und am 1. Januar 2008 sind die im Zug der 5. IV-Revision revidierten Bestimmungen des Bundesgesetzes über die Invalidenversicherung (IVG; SR 831.20), der Verordnung über die Invalidenversicherung (IVV; SR 831.201) und des Bundesgesetzes über den Allgemeinen Teil des Sozialversicherungsrechts (ATSG; SR 830.1) in Kraft getreten. Am 1. Januar 2012 sind schliesslich die aufgrund der IV-Revision 6A geänderten Bestimmungen des IVG in Kraft getreten. In materiell-rechtlicher Hinsicht gilt der allgemeine übergangsrechtliche Grundsatz, dass der Beurteilung jene Rechtsnormen zu Grunde zu legen sind, die bei Erlass des angefochtenen Entscheids beziehungsweise im Zeitpunkt gegolten haben, als sich der zu den materiellen Rechtsfolgen führende Sachverhalt verwirklicht hat (vgl. BGE 127 V 467 E. 1, 126 V 136 E. 4b, je mit Hinweisen). Die angefochtene Verfügung ist am 18. Mai 2015 ergangen (IV-act. 79), wobei ein Sachverhalt zu beurteilen ist (Beginn der Arbeitsunfähigkeit am 9. April 2003, IV-act. 1-5 und IV-act. 33-17), der vor dem Inkrafttreten der revidierten Bestimmungen der 4., 5. und 6A IV-Revision begonnen hat. Daher und aufgrund dessen, dass der Rechtsstreit u.a. eine Dauerleistung betrifft, über die noch nicht rechtskräftig verfügt wurde, ist entsprechend den allgemeinen intertemporalrechtlichen Regeln für die Zeit bis 31. Dezember 2003 bzw. bis 31. Dezember 2007 auf die damals geltenden Bestimmungen, ab 1. Januar 2008 auf die neuen Normen der 5. IV-Revision und ab 1. Januar 2012 auf die neuen Normen der 6A IV-Revision abzustellen (vgl. zur 4. IV-Revision: BGE 130 V 445 ff.; Urteil des Bundesgerichts vom 7. Juni 2006, I 428/04, E. 1). Nachfolgend werden die seit 1. Januar 2012 gültigen Bestimmungen des ATSG und IVG wiedergegeben, soweit nicht ausdrücklich auf die altrechtlichen Bestimmungen verwiesen wird. 1.2  Anspruch auf eine Invalidenrente hat eine versicherte Person, wenn sie ihre Erwerbsfähigkeit durch zumutbare Eingliederungsmassnahmen nicht wieder herstellen, erhalten oder verbessern kann, während einer einjährigen Wartefrist durchschnittlich mindestens 40% arbeitsunfähig gewesen und nach Ablauf dieses Jahres zu mindestens 40% invalid ist (Art. 28 Abs. 1 IVG). Gemäss Art. 28 Abs. 2 IVG hat die versicherte Person Anspruch auf eine ganze IV-Rente, wenn sie mindestens zu 70% invalid ist; bei einem Invaliditätsgrad von mindestens 60% besteht ein Anspruch auf eine Dreiviertelsrente, bei einem Invaliditätsgrad von mindestens 50% Anspruch auf eine halbe Rente und bei einem Invaliditätsgrad von mindestens 40% Anspruch auf eine Viertelsrente. 1.3  Invalidität ist die voraussichtlich bleibende oder längere Zeit andauernde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zur gleichen, bereits vor dem Inkrafttreten des ATSG geltenden Rechtslage vgl. BGE 127 V 298 E. 4c). 1.4  Eine Invalidität setzt daher voraus, dass der Gesundheitsschaden sowie dessen Auswirkungen auf die Arbeitsfähigkeit festgestellt worden sind. Dabei sind die rechtsanwendenden Behörden auf die Einschätzung der medizinischen Lage durch Fachpersonen angewiesen, die den Gesundheitszustand beurteilen und dazu Stellung nehmen, in welchem Umfang und bezüglich welcher Tätigkeiten die versicherte Person arbeitsunfähig ist (BGE 125 V 261 E. 4). Aufgabe der IV-Stelle und der Sozialversicherungsgerichte ist es zu würdigen, ob die ärztlichen Aussagen und Einschätzungen eine zuverlässige Beurteilung des Leistungsanspruchs erlauben. Ist dies der Fall, so ist gestützt auf diese medizinischen Feststellungen und in der Regel anhand eines Einkommensvergleichs (Art. 16 ATSG) der Invaliditätsgrad zu bemessen. Festzuhalten ist sodann, dass in An¬betracht der sich mit Bezug auf Schmerzen naturgemäss ergebenden Beweisschwierigkeiten die subjektiven Schmerzangaben der versicherten Person für die Begründung einer Invalidität nicht ausreichen; vielmehr ist im Rahmen der sozialversicherungsrechtlichen Leistungsprüfung erforderlich, dass die Schmerzangaben durch damit korrelierende, fachärztlich schlüssig feststellbare Befunde hinreichend erklär- und objektivierbar sind (BGE 139 V 556 E. 5.4).</w:t>
      </w:r>
    </w:p>
    <w:p>
      <w:r>
        <w:rPr>
          <w:b/>
        </w:rPr>
        <w:t>E. 2</w:t>
      </w:r>
    </w:p>
    <w:p>
      <w:r>
        <w:t>Umstritten ist in erster Linie, welche Schlüsse aus den vorhandenen ärztlichen Unterlagen zu ziehen sind. 2.1  In somatischer Hinsicht hat das Versicherungsgericht im die unfallversicherungsrechtlichen Leistungsansprüche der Beschwerdeführerin betreffenden Entscheid vom 21. August 2006, UV 2005/95, E. 3c (Fremdakten), festgestellt, dass die von der Beschwerdeführerin angegebenen Beschwerden sich nicht auf eine objektivierbare organische Schädigung bzw. strukturelle Veränderung zurückführen lassen. In damit zu vereinbarender Weise gelangte Dr. D.___ im neurologischen Gutachten vom 25. August 2010 zum Schluss, die von der Beschwerdeführerin geklagten Beschwerden seien organisch-neurologisch nicht abstützbar (IV-act. 88-23). Nach einer Würdigung der medizinischen Aktenlage gelangte RAD-Arzt Dr. G.___ ebenfalls zur Ansicht, dass aus somatischer Sicht zu keinem Zeitpunkt ein organisches Korrelat festgestellt worden sei, das für die Schmerzsymptomatik verantwortlich gemacht werden könne. Eine Einschränkung der Arbeitsfähigkeit könne aus somatisch-versicherungsmedizinischer Sicht nicht anerkannt werden (Stellungnahme vom 27. Februar 2015, IV-act. 74). Im Licht dieser Umstände ist aus somatischer Sicht - auch rückwirkend für den für einen Rentenanspruch massgebenden Zeitraum - von einer uneingeschränkten Arbeitsfähigkeit auszugehen. 2.2  Zu allfälligen psychisch bedingten Beeinträchtigungen der Arbeitsfähigkeit äussern sich im Wesentlichen das Teilgutachten von Dr. med. H.___, Facharzt für Psychiatrie und Psychotherapie, vom 20. Oktober 2004 (IV-act. 33-25 ff.), das neuropsychologische Gutachten vom 31. Juli 2009 (Fremdakten) sowie die Gutachten von Dr. E.___ vom 15. Juni 2013 (Fremdakten) und von Dr. F.___ vom 30. November 2014 (IV-act. 85).</w:t>
      </w:r>
    </w:p>
    <w:p>
      <w:r>
        <w:rPr>
          <w:b/>
        </w:rPr>
        <w:t>E. 2.3</w:t>
      </w:r>
    </w:p>
    <w:p>
      <w:r>
        <w:t>2.3.1      Der psychiatrische MEDAS-Gutachter Dr. H.___ führte im Teilgutachten vom 20. Oktober 2004 aus, eine eigentliche psychische Störung habe nicht festgestellt werden können. Die Beschwerdeführerin erscheine wenig kritikfähig. Man erhalte den Eindruck, dass der beschriebene psychische Zustand weniger als krankhaft, eher als persönlichkeitsbedingt zu interpretieren sei. Er diagnostizierte eine Somatisierungstendenz (ICD-10: F45.0) und bescheinigte eine 30%ige Arbeitsunfähigkeit. Eine spezialärztliche Behandlung sei nicht unbedingt erforderlich, besitze die Beschwerdeführerin doch Ressourcen, um ohne fremde Hilfe weiterzukommen. Die Voraussetzung dafür sei das Weglassen der Bestrebung nach „Anerkennung ihres Falles“ (IV-act. 33-27 f.). 2.3.2      Dr. H.___ legt nicht dar, inwieweit überhaupt eine psychische Gesundheitsbeeinträchtigung besteht und in welchem Umfang diese aus objektiver Sicht zu Funktionsdefiziten bzw. einer Arbeitsunfähigkeit von 30% führt. Während der Exploration habe sich die Beschwerdeführerin in einer guten Stimmungslage befunden. Sie habe gelacht und Humor gezeigt (IV-act. 33-27). Aus seinen Ausführungen zur Persönlichkeit der Beschwerdeführerin ergeben sich Zweifel, dass die von ihr geklagten Leiden bzw. ihre Tendenz zur Somatisierung krankheitswertig sind (zu den hohen Ansprüchen der Beschwerdeführerin an eine berufliche Tätigkeit und die eigene Leistungsfähigkeit sowie zu deren narzisstischen Persönlichkeitsakzentuierung siehe auch IV-act. 85-38 und -39 unten). Die Arbeitsfähigkeitsschätzung von Dr. H.___ vermag daher nicht zu überzeugen (vgl. auch die Kritik von RAD-Arzt Dr. G.___, IV-act. 74-2, und von Dr. E.___ in S. 35 f. des Gutachtens, Fremdakten).</w:t>
      </w:r>
    </w:p>
    <w:p>
      <w:r>
        <w:rPr>
          <w:b/>
        </w:rPr>
        <w:t>E. 2.4</w:t>
      </w:r>
    </w:p>
    <w:p>
      <w:r>
        <w:t>2.4.1      Im neuropsychologischen Gutachten vom 31. Juli 2009 stellten die Experten eine „diskrete bis leichte Beeinträchtigung einzelner attentionaler und exekutiver Funktionen“ fest. Die Beschwerdeführerin könne aber grundsätzlich allen Arbeiten nachgehen. Bei Berufen mit hohen kognitiven Anforderungen würden sich die beschriebenen diskreten bis leichten Beeinträchtigungen (attentionale Minderleistungen) stärker auswirken, vermutlich aktuell zwischen 20 und 30% (Fremdakten). Allerdings geht aus der neuropsychologischen Beurteilung nicht hervor, in welchem Umfang eine Beeinträchtigung der Arbeitsfähigkeit bezogen auf eine Tätigkeit ohne erhöhte kognitive Anforderungen besteht. 2.4.2      Dr. F.___ ging davon aus, dass die Beschwerdeführerin in einer leidensangepassten Tätigkeit immerhin eine 80%ige Arbeitsfähigkeit erbringen könne (IV-act. 85-39). Sie wies zudem darauf hin, dass die Beschwerdeführerin in einem Bereich arbeite, für den sie - zumindest formal - unterqualifiziert sei, indessen trotzdem gemäss Aussage der Personalverantwortlichen insgesamt gute Arbeitsleistungen erbringe (IV-act. 85-37). Dem neuropsychologischen Gutachten vom 31. Juli 2009 fehlt daher hinsichtlich der Beurteilung der Arbeitsfähigkeit der Beschwerdeführerin für leidensangepasste Tätigkeiten die Beweiskraft. 2.5  Dr. E.___ hat die Beschwerdeführerin an zwei Tagen jeweils während drei Stunden untersucht. Er hat die Vorakten einbezogen und sie diskutiert. Seine Diagnose und die Schätzung der Arbeitsfähigkeit hat er gestützt auf eine Konsistenz- sowie Ressourcenprüfung begründet (Gutachten vom 15. Juni 2013, Fremdakten; siehe auch die ergänzende Stellungnahme vom 7. Dezember 2013, Fremdakten). Wesentliche Elemente seiner Schlüsse sind von Dr. F.___ bestätigt worden. So hielt sie fest: Die vom Vorgutachter beschriebene narzisstische und histrionische Persönlichkeitsakzentuierung (siehe hierzu etwa S. 24 und S. 27 des Gutachtens von Dr. E.___, Fremdakten) sei auch aufgrund der eigenen Exploration gut nachvollziehbar (IV-act. 85-35 f.). Ebenfalls stimmte sie darin überein, dass es sich hier um eine Persönlichkeitsakzentuierung, aber nicht um eine krankheitswertige psychische Störung handle (IV-act. 85-36). Der psychiatrische Vorgutachter Dr. E.___ habe darauf hingewiesen, dass die Beachtung und Zuwendung, die auf den Unfall gefolgt seien, sich in besonderer Weise auf die Versicherte ausgewirkt hätten, „da sie wahrscheinlich ein Mensch sei, für den gesehen werden, Beachtung als besonders wahrgenommen werden, wichtige Bedürfnisse seien. Diese Einschätzung teile ich“ (IV-act. 85-38). Die Rüge der Beschwerdeführerin, ein zentraler Mangel sei darin zu erblicken, dass keinerlei Differenzierung in zeitlicher Hinsicht gemacht werde (S. 2 des Schreibens vom 13. Februar 2014, Fremdakten), zielt ins Leere, da gestützt auf die Aussage von Dr. F.___ seit Anfang/Mitte 2004 - und damit mit überwiegender Wahrscheinlichkeit noch vor Ablauf des für den Rentenanspruch massgebenden Wartejahres - von einem weitgehend stabilen klinischen Bild ausgegangen werden kann (IV-act. 85-37). Im Übrigen erweist sich die Kritik der Beschwerdeführerin insoweit als aktenwidrig, als sich Dr. E.___ mit der Entwicklung der Beschwerden auseinandergesetzt hat (S. 25 ff. des Gutachtens, Fremdakten) und seit Anfang 2004 - ebenfalls wie Dr. F.___ - von einem grundsätzlich stabilen Leidensbild ausgegangen ist (S. 26 unten des Gutachtens, Fremdakten). Ob die weiteren gegen die Beurteilung von Dr. E.___ von der Beschwerdeführerin erhobenen Rügen geeignet sind, dessen Beweiswert zu erschüttern, kann vorliegend offen bleiben. Denn selbst wenn zugunsten der Beschwerdeführerin auf das Gutachten von Dr. F.___ abgestellt würde (siehe hierzu nachstehende E. 2.6), resultierte aufgrund der von ihr für leidensangepasste Tätigkeiten bescheinigten 80%igen Arbeitsfähigkeit kein Rentenanspruch (siehe nachstehende E. 3.2). 2.6  Die gutachterliche Beurteilung von Dr. F.___ beruht auf einer mehrstündigen persönlichen Untersuchung vom 14. Oktober 2014. Die Vorakten und die von der Beschwerdeführerin geklagten Leiden wurden berücksichtigt (IV-act. 85). Die von ihr bescheinigte 80%ige Arbeitsfähigkeit für leidensangepasste Tätigkeiten (z.B. einfache Verkaufstätigkeiten) hat sie plausibel und konsistent begründet. Die Beschwerdeführerin hält das Gutachten von Dr. F.___ für beweiskräftig (vgl. act. G 1, Rz 12 ff.). Zwar würde nach der Einschätzung von Dr. F.___ die Aufnahme einer leidensangepassten Tätigkeit „wahrscheinlich“ von der Beschwerdeführerin aufgrund der narzisstischen Persönlichkeitsakzentuierung „als beruflicher Abstieg“ und als massive Kränkung erlebt (IV-act. 85-39). Allerdings handelt es sich aber weder bei der narzisstischen Persönlichkeitsakzentuierung noch bei einer „Kränkung“ um eine gesundheitliche Beeinträchtigung im Sinn von Art. 7 Abs. 2 ATSG (zur ausdrücklichen Verneinung einer psychischen Störung durch Dr. F.___ siehe IV-act. 85-36), weshalb kein Anlass besteht, von der für leidensangepasste Tätigkeiten bescheinigten 80%igen Arbeitsfähigkeit abzurücken.</w:t>
      </w:r>
    </w:p>
    <w:p>
      <w:r>
        <w:rPr>
          <w:b/>
        </w:rPr>
        <w:t>E. 3</w:t>
      </w:r>
    </w:p>
    <w:p>
      <w:r>
        <w:t>Zu bestimmen bleibt der Invaliditätsgrad der Beschwerdeführerin. 3.1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3.2  Für die Bestimmung des Invalideneinkommens kann auf die Löhne für Sekretariats- und Kanzleiarbeiten oder andere kaufmännisch-administrative Tätigkeiten, je im Anforderungsniveau 4 (einfache und repetitive Tätigkeiten) der Tabelle TA7 der LSE 2004 abgestellt werden (zur Zulässigkeit der Anwendung der Löhne der Tabelle TA7 vgl. Urteil des Bundesgerichts vom 20. August 2008, 9C_22/2008, E. 4.2.3). Würde zugunsten der Beschwerdeführerin auf den Monatslohn für andere kaufmännisch-administrative Tätigkeiten abgestellt, so resultiert - angepasst an eine betriebsübliche wöchentliche Arbeitszeit von 41.6 Stunden - ein Monatslohn von Fr. 4‘989.-- ([Fr. 4‘797.-- / 40] x 41.6) bzw. ein Jahresverdienst von Fr. 59‘856.-- (Fr. 4‘989.-- x 12) und ein Invalideneinkommen von Fr. 47‘885.-- (Fr. 59‘856.-- x 0,8). Anhaltspunkte, die einen Abzug von Tabellenlohn rechtfertigen, bestehen keine, zumal eine leidensangepasste Tätigkeit vorliegend keinen Berufswechsel voraussetzt und den qualitativen Anforderungen an eine leidensangepasste Tätigkeit bereits mit dem Anforderungsniveau 4 Rechnung getragen wird. Selbst wenn zugunsten der Beschwerdeführerin von einem Valideneinkommen für das Jahr 2004 von Fr. 73‘413.-- ausgegangen würde (IV-act. 39-2; zu den deutlich tieferen erzielten Löhne der Vorjahre siehe das individuelle Konto in IV-act. 11-1), ergeben sich eine Erwerbseinbusse von Fr. 25‘528.-- (Fr. 73‘413.-- - Fr. 47‘885.--) und ein Invaliditätsgrad von aufgerundet 35% ([Fr. 25‘528.-- / Fr. 73‘413.--] x 100). Die Beschwerdegegnerin hat damit das Rentengesuch zu Recht abgewiesen. Soweit die Beschwerdeführerin auf den mit dem Unfallversicherer vergleichsweise festgelegten 40%igen Invaliditätsgrad hinweist (act. G 1, Rz 15 f., und act. G 1.5), hat die Beschwerdegegnerin zutreffend ausgeführt, dass sich daraus keine Bindungswirkung für die invalidenversicherungsrechtliche Leistungsfestsetzung ergibt (IV-act. 79-2; BGE 127 V 135 f. E. 4d), womit sich Weiterungen erübrigen.</w:t>
      </w:r>
    </w:p>
    <w:p>
      <w:r>
        <w:rPr>
          <w:b/>
        </w:rPr>
        <w:t>E. 4</w:t>
      </w:r>
    </w:p>
    <w:p>
      <w:r>
        <w:t>Nach dem Gesagten ist die Beschwerde abzuweisen.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Dem Ausgang des Verfahrens entsprechend ist sie vollumfänglich der Beschwerdeführerin aufzuerlegen. Der geleistete Kostenvorschuss von Fr. 600.-- ist ihr daran anzurechnen. Ausgangsgemäss hat die Beschwerdeführerin keinen Anspruch auf eine Parteientschädigung. Entscheid im Zirkulationsverfahren gemäss Art. 39 VRP 1. Die Beschwerde wird abgewiesen. 2. Die Beschwerdeführerin bezahlt eine Gerichtsgebühr von Fr. 600.--. Der geleistete Kostenvorschuss von Fr. 600.-- wird ihr daran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